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F05" w:rsidRPr="009C3EE0" w:rsidRDefault="00752698" w:rsidP="00752698">
      <w:pPr>
        <w:jc w:val="center"/>
        <w:rPr>
          <w:sz w:val="32"/>
          <w:szCs w:val="32"/>
        </w:rPr>
      </w:pPr>
      <w:bookmarkStart w:id="0" w:name="_GoBack"/>
      <w:bookmarkEnd w:id="0"/>
      <w:r w:rsidRPr="009C3EE0">
        <w:rPr>
          <w:sz w:val="32"/>
          <w:szCs w:val="32"/>
        </w:rPr>
        <w:t>Tratamientos recomendados</w:t>
      </w:r>
      <w:r w:rsidR="009C3EE0">
        <w:rPr>
          <w:sz w:val="32"/>
          <w:szCs w:val="32"/>
        </w:rPr>
        <w:t>-1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752698" w:rsidRPr="0048532B" w:rsidTr="00752698">
        <w:tc>
          <w:tcPr>
            <w:tcW w:w="1980" w:type="dxa"/>
          </w:tcPr>
          <w:p w:rsidR="00752698" w:rsidRPr="0048532B" w:rsidRDefault="00752698" w:rsidP="00752698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 xml:space="preserve">Patología </w:t>
            </w:r>
          </w:p>
        </w:tc>
        <w:tc>
          <w:tcPr>
            <w:tcW w:w="6514" w:type="dxa"/>
          </w:tcPr>
          <w:p w:rsidR="00752698" w:rsidRPr="0048532B" w:rsidRDefault="00752698" w:rsidP="00752698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Tratamiento</w:t>
            </w:r>
            <w:r w:rsidRPr="0048532B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752698" w:rsidRPr="0048532B" w:rsidTr="00752698">
        <w:tc>
          <w:tcPr>
            <w:tcW w:w="1980" w:type="dxa"/>
          </w:tcPr>
          <w:p w:rsidR="00752698" w:rsidRPr="0048532B" w:rsidRDefault="00752698" w:rsidP="00752698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 xml:space="preserve">Balanitis </w:t>
            </w:r>
            <w:proofErr w:type="spellStart"/>
            <w:r w:rsidRPr="0048532B">
              <w:rPr>
                <w:sz w:val="20"/>
                <w:szCs w:val="20"/>
              </w:rPr>
              <w:t>candidiásica</w:t>
            </w:r>
            <w:proofErr w:type="spellEnd"/>
          </w:p>
        </w:tc>
        <w:tc>
          <w:tcPr>
            <w:tcW w:w="6514" w:type="dxa"/>
          </w:tcPr>
          <w:p w:rsidR="00752698" w:rsidRPr="0048532B" w:rsidRDefault="00752698" w:rsidP="00752698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Clotrimazol 1% crema, mañana y noche, durante 10-14 días</w:t>
            </w:r>
          </w:p>
        </w:tc>
      </w:tr>
      <w:tr w:rsidR="00752698" w:rsidRPr="0048532B" w:rsidTr="00752698">
        <w:tc>
          <w:tcPr>
            <w:tcW w:w="1980" w:type="dxa"/>
          </w:tcPr>
          <w:p w:rsidR="00752698" w:rsidRPr="0048532B" w:rsidRDefault="00752698" w:rsidP="00752698">
            <w:pPr>
              <w:rPr>
                <w:sz w:val="20"/>
                <w:szCs w:val="20"/>
              </w:rPr>
            </w:pPr>
            <w:proofErr w:type="spellStart"/>
            <w:r w:rsidRPr="0048532B">
              <w:rPr>
                <w:sz w:val="20"/>
                <w:szCs w:val="20"/>
              </w:rPr>
              <w:t>Chancroide</w:t>
            </w:r>
            <w:proofErr w:type="spellEnd"/>
            <w:r w:rsidRPr="0048532B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14" w:type="dxa"/>
          </w:tcPr>
          <w:p w:rsidR="00752698" w:rsidRPr="0048532B" w:rsidRDefault="00752698" w:rsidP="00752698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Azitromicina 1 g, dosis única ó</w:t>
            </w:r>
          </w:p>
          <w:p w:rsidR="00752698" w:rsidRPr="0048532B" w:rsidRDefault="00752698" w:rsidP="00752698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Ceftriaxona 250 mg, IM dosis única ó</w:t>
            </w:r>
          </w:p>
          <w:p w:rsidR="00752698" w:rsidRPr="0048532B" w:rsidRDefault="00752698" w:rsidP="00752698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Ciprofloxacino 500 mg, dos veces al día durante 3 días (Contraindicado en el embarazo) ó</w:t>
            </w:r>
          </w:p>
          <w:p w:rsidR="00752698" w:rsidRPr="0048532B" w:rsidRDefault="00752698" w:rsidP="00752698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Eritromicina 500 mg, tres veces al día durante 7 días</w:t>
            </w:r>
          </w:p>
        </w:tc>
      </w:tr>
      <w:tr w:rsidR="00752698" w:rsidRPr="0048532B" w:rsidTr="00752698">
        <w:tc>
          <w:tcPr>
            <w:tcW w:w="1980" w:type="dxa"/>
          </w:tcPr>
          <w:p w:rsidR="00752698" w:rsidRPr="0048532B" w:rsidRDefault="00752698" w:rsidP="00752698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Clamidiasis</w:t>
            </w:r>
          </w:p>
        </w:tc>
        <w:tc>
          <w:tcPr>
            <w:tcW w:w="6514" w:type="dxa"/>
          </w:tcPr>
          <w:p w:rsidR="00752698" w:rsidRPr="0048532B" w:rsidRDefault="00752698" w:rsidP="00752698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Azitromicina 1 g, dosis única ó</w:t>
            </w:r>
          </w:p>
          <w:p w:rsidR="00752698" w:rsidRPr="0048532B" w:rsidRDefault="00752698" w:rsidP="00752698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Doxiciclina 100 mg, dos veces al día durante 7 días</w:t>
            </w:r>
          </w:p>
          <w:p w:rsidR="00752698" w:rsidRPr="0048532B" w:rsidRDefault="00752698" w:rsidP="00752698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Regímenes alternativos</w:t>
            </w:r>
          </w:p>
          <w:p w:rsidR="00752698" w:rsidRPr="0048532B" w:rsidRDefault="00752698" w:rsidP="00752698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Eritromicina base 500mg, cuatro veces al día durante 7 días u</w:t>
            </w:r>
          </w:p>
          <w:p w:rsidR="00752698" w:rsidRPr="0048532B" w:rsidRDefault="00752698" w:rsidP="00752698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Ofloxacino 300 mg, dos veces al día durante 7 días</w:t>
            </w:r>
          </w:p>
        </w:tc>
      </w:tr>
      <w:tr w:rsidR="00752698" w:rsidRPr="0048532B" w:rsidTr="00752698">
        <w:tc>
          <w:tcPr>
            <w:tcW w:w="1980" w:type="dxa"/>
          </w:tcPr>
          <w:p w:rsidR="00752698" w:rsidRPr="0048532B" w:rsidRDefault="00752698" w:rsidP="00752698">
            <w:pPr>
              <w:rPr>
                <w:sz w:val="20"/>
                <w:szCs w:val="20"/>
              </w:rPr>
            </w:pPr>
            <w:proofErr w:type="spellStart"/>
            <w:r w:rsidRPr="0048532B">
              <w:rPr>
                <w:sz w:val="20"/>
                <w:szCs w:val="20"/>
              </w:rPr>
              <w:t>Donovanosis</w:t>
            </w:r>
            <w:proofErr w:type="spellEnd"/>
          </w:p>
        </w:tc>
        <w:tc>
          <w:tcPr>
            <w:tcW w:w="6514" w:type="dxa"/>
          </w:tcPr>
          <w:p w:rsidR="00752698" w:rsidRPr="0048532B" w:rsidRDefault="00752698" w:rsidP="00752698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Doxiciclina 100 mg,  dos veces al día durante 21 días</w:t>
            </w:r>
          </w:p>
          <w:p w:rsidR="00752698" w:rsidRPr="0048532B" w:rsidRDefault="00752698" w:rsidP="00752698">
            <w:pPr>
              <w:pStyle w:val="Prrafodelista"/>
              <w:rPr>
                <w:sz w:val="20"/>
                <w:szCs w:val="20"/>
              </w:rPr>
            </w:pPr>
          </w:p>
          <w:p w:rsidR="00752698" w:rsidRPr="0048532B" w:rsidRDefault="00752698" w:rsidP="00752698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 xml:space="preserve">Regímenes </w:t>
            </w:r>
            <w:r w:rsidR="00F434A5" w:rsidRPr="0048532B">
              <w:rPr>
                <w:sz w:val="20"/>
                <w:szCs w:val="20"/>
              </w:rPr>
              <w:t>alternativos</w:t>
            </w:r>
          </w:p>
          <w:p w:rsidR="00F434A5" w:rsidRPr="0048532B" w:rsidRDefault="00F434A5" w:rsidP="00F434A5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Azitromicina 1g, una vez por semana durante 21 días ó</w:t>
            </w:r>
          </w:p>
          <w:p w:rsidR="00F434A5" w:rsidRPr="0048532B" w:rsidRDefault="00F434A5" w:rsidP="00F434A5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Ciprofloxacino 750 mg dos veces al día durante 21 días ó</w:t>
            </w:r>
          </w:p>
          <w:p w:rsidR="00F434A5" w:rsidRPr="0048532B" w:rsidRDefault="00F434A5" w:rsidP="00F434A5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Eritromicina 500 mg cuatro veces al día durante 21 días ó</w:t>
            </w:r>
          </w:p>
          <w:p w:rsidR="00F434A5" w:rsidRPr="0048532B" w:rsidRDefault="00F434A5" w:rsidP="00F434A5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spellStart"/>
            <w:r w:rsidRPr="0048532B">
              <w:rPr>
                <w:sz w:val="20"/>
                <w:szCs w:val="20"/>
              </w:rPr>
              <w:t>Trimetoprim</w:t>
            </w:r>
            <w:proofErr w:type="spellEnd"/>
            <w:r w:rsidRPr="0048532B">
              <w:rPr>
                <w:sz w:val="20"/>
                <w:szCs w:val="20"/>
              </w:rPr>
              <w:t>-sulfametoxazol 160 mg/800 mg dos veces al día durante 21 días</w:t>
            </w:r>
          </w:p>
        </w:tc>
      </w:tr>
      <w:tr w:rsidR="00752698" w:rsidRPr="0048532B" w:rsidTr="00752698">
        <w:tc>
          <w:tcPr>
            <w:tcW w:w="1980" w:type="dxa"/>
          </w:tcPr>
          <w:p w:rsidR="00752698" w:rsidRPr="0048532B" w:rsidRDefault="00F434A5" w:rsidP="00752698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 xml:space="preserve">Escabiosis </w:t>
            </w:r>
          </w:p>
        </w:tc>
        <w:tc>
          <w:tcPr>
            <w:tcW w:w="6514" w:type="dxa"/>
          </w:tcPr>
          <w:p w:rsidR="00752698" w:rsidRPr="0048532B" w:rsidRDefault="00F434A5" w:rsidP="00F434A5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Permetrina crema 5% (aplicar en todo el cuerpo desde el cuello y lavar al cabo de 8-14 horas)</w:t>
            </w:r>
          </w:p>
          <w:p w:rsidR="00F434A5" w:rsidRPr="0048532B" w:rsidRDefault="00F434A5" w:rsidP="00F434A5">
            <w:pPr>
              <w:rPr>
                <w:sz w:val="20"/>
                <w:szCs w:val="20"/>
              </w:rPr>
            </w:pPr>
          </w:p>
          <w:p w:rsidR="00F434A5" w:rsidRPr="0048532B" w:rsidRDefault="00F434A5" w:rsidP="00F434A5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Regímenes alternativos</w:t>
            </w:r>
          </w:p>
          <w:p w:rsidR="00F434A5" w:rsidRPr="0048532B" w:rsidRDefault="00F434A5" w:rsidP="00F434A5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Lindano 1% (aplicar finamente en todas las áreas afectadas y lavar transcurridas 8 horas)</w:t>
            </w:r>
          </w:p>
          <w:p w:rsidR="00F434A5" w:rsidRPr="0048532B" w:rsidRDefault="00F434A5" w:rsidP="00F434A5">
            <w:pPr>
              <w:rPr>
                <w:sz w:val="20"/>
                <w:szCs w:val="20"/>
              </w:rPr>
            </w:pPr>
          </w:p>
          <w:p w:rsidR="00F434A5" w:rsidRPr="0048532B" w:rsidRDefault="00F434A5" w:rsidP="00F434A5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 xml:space="preserve">Medidas de </w:t>
            </w:r>
            <w:proofErr w:type="spellStart"/>
            <w:r w:rsidRPr="0048532B">
              <w:rPr>
                <w:sz w:val="20"/>
                <w:szCs w:val="20"/>
              </w:rPr>
              <w:t>desinfestación</w:t>
            </w:r>
            <w:proofErr w:type="spellEnd"/>
            <w:r w:rsidRPr="0048532B">
              <w:rPr>
                <w:sz w:val="20"/>
                <w:szCs w:val="20"/>
              </w:rPr>
              <w:t>: Lavar la ropa potencialmente contaminada a elevada temperatura (&gt;50ºC) o mantenerla en una bolsa de plástico al menos 72 horas.</w:t>
            </w:r>
          </w:p>
        </w:tc>
      </w:tr>
      <w:tr w:rsidR="00752698" w:rsidRPr="0048532B" w:rsidTr="00752698">
        <w:tc>
          <w:tcPr>
            <w:tcW w:w="1980" w:type="dxa"/>
          </w:tcPr>
          <w:p w:rsidR="00752698" w:rsidRPr="0048532B" w:rsidRDefault="00F434A5" w:rsidP="00752698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 xml:space="preserve">Gonococia </w:t>
            </w:r>
            <w:r w:rsidRPr="0048532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514" w:type="dxa"/>
          </w:tcPr>
          <w:p w:rsidR="00752698" w:rsidRPr="0048532B" w:rsidRDefault="00F434A5" w:rsidP="00F434A5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Ceftriaxona 250 mg IM, dosis única ó</w:t>
            </w:r>
          </w:p>
          <w:p w:rsidR="00F434A5" w:rsidRPr="0048532B" w:rsidRDefault="00F434A5" w:rsidP="00F434A5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 xml:space="preserve">Cefixima 400 mg, dosis única </w:t>
            </w:r>
          </w:p>
        </w:tc>
      </w:tr>
      <w:tr w:rsidR="00752698" w:rsidRPr="0048532B" w:rsidTr="00752698">
        <w:tc>
          <w:tcPr>
            <w:tcW w:w="1980" w:type="dxa"/>
          </w:tcPr>
          <w:p w:rsidR="00752698" w:rsidRPr="0048532B" w:rsidRDefault="00F434A5" w:rsidP="00752698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Herpes genital</w:t>
            </w:r>
          </w:p>
        </w:tc>
        <w:tc>
          <w:tcPr>
            <w:tcW w:w="6514" w:type="dxa"/>
          </w:tcPr>
          <w:p w:rsidR="00752698" w:rsidRPr="0048532B" w:rsidRDefault="00F434A5" w:rsidP="00752698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 xml:space="preserve">Primer episodio clínico </w:t>
            </w:r>
          </w:p>
          <w:p w:rsidR="00F434A5" w:rsidRPr="0048532B" w:rsidRDefault="00F434A5" w:rsidP="00F434A5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Aciclovir 400 mg, tres veces al día durante 7-10 días ó</w:t>
            </w:r>
          </w:p>
          <w:p w:rsidR="00F434A5" w:rsidRPr="0048532B" w:rsidRDefault="00F434A5" w:rsidP="00F434A5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Famciclovir 250 mg, tres veces al día durante 7-10 días ó</w:t>
            </w:r>
          </w:p>
          <w:p w:rsidR="00F434A5" w:rsidRPr="0048532B" w:rsidRDefault="00F434A5" w:rsidP="00F434A5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Valaciclovir 1000mg, dos veces al día durante 7-10 días</w:t>
            </w:r>
          </w:p>
          <w:p w:rsidR="00F434A5" w:rsidRPr="0048532B" w:rsidRDefault="00F434A5" w:rsidP="00F434A5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 xml:space="preserve">Terapia episódica </w:t>
            </w:r>
          </w:p>
          <w:p w:rsidR="00F434A5" w:rsidRPr="0048532B" w:rsidRDefault="0048532B" w:rsidP="0048532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Aciclovir 400mg, tres veces al día durante 5 días ó</w:t>
            </w:r>
          </w:p>
          <w:p w:rsidR="0048532B" w:rsidRPr="0048532B" w:rsidRDefault="0048532B" w:rsidP="0048532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Aciclovir 800mg, tres veces al día durante 2 días ó</w:t>
            </w:r>
          </w:p>
          <w:p w:rsidR="0048532B" w:rsidRPr="0048532B" w:rsidRDefault="0048532B" w:rsidP="0048532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Famciclovir 125mg, dos veces al día por durante 5 días ó</w:t>
            </w:r>
          </w:p>
          <w:p w:rsidR="0048532B" w:rsidRPr="0048532B" w:rsidRDefault="0048532B" w:rsidP="0048532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Famciclovir 1000mg, dos veces al día durante 1 día ó</w:t>
            </w:r>
          </w:p>
          <w:p w:rsidR="0048532B" w:rsidRPr="0048532B" w:rsidRDefault="0048532B" w:rsidP="0048532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 xml:space="preserve">Valaciclovir 1000mg, diario durante 5 días ó </w:t>
            </w:r>
          </w:p>
          <w:p w:rsidR="0048532B" w:rsidRPr="0048532B" w:rsidRDefault="0048532B" w:rsidP="0048532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Valaciclovir 500mg, dos veces al día durante 3 días</w:t>
            </w:r>
          </w:p>
          <w:p w:rsidR="0048532B" w:rsidRPr="0048532B" w:rsidRDefault="0048532B" w:rsidP="0048532B">
            <w:p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Terapia supresora</w:t>
            </w:r>
          </w:p>
          <w:p w:rsidR="0048532B" w:rsidRPr="0048532B" w:rsidRDefault="0048532B" w:rsidP="0048532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Aciclovir 400mg, dos veces al día ó</w:t>
            </w:r>
          </w:p>
          <w:p w:rsidR="0048532B" w:rsidRPr="0048532B" w:rsidRDefault="0048532B" w:rsidP="0048532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Famciclovir 250mg, dos veces al día ó</w:t>
            </w:r>
          </w:p>
          <w:p w:rsidR="0048532B" w:rsidRPr="0048532B" w:rsidRDefault="0048532B" w:rsidP="0048532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Valaciclovir 500 mg, una vez al día ó</w:t>
            </w:r>
          </w:p>
          <w:p w:rsidR="0048532B" w:rsidRPr="0048532B" w:rsidRDefault="0048532B" w:rsidP="0048532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532B">
              <w:rPr>
                <w:sz w:val="20"/>
                <w:szCs w:val="20"/>
              </w:rPr>
              <w:t>Valaciclovir 1gr, una vez al día</w:t>
            </w:r>
          </w:p>
          <w:p w:rsidR="0048532B" w:rsidRPr="0048532B" w:rsidRDefault="0048532B" w:rsidP="00F434A5">
            <w:pPr>
              <w:rPr>
                <w:sz w:val="20"/>
                <w:szCs w:val="20"/>
              </w:rPr>
            </w:pPr>
          </w:p>
          <w:p w:rsidR="0048532B" w:rsidRPr="0048532B" w:rsidRDefault="0048532B" w:rsidP="00F434A5">
            <w:pPr>
              <w:rPr>
                <w:sz w:val="20"/>
                <w:szCs w:val="20"/>
              </w:rPr>
            </w:pPr>
          </w:p>
        </w:tc>
      </w:tr>
    </w:tbl>
    <w:p w:rsidR="00752698" w:rsidRDefault="0048532B" w:rsidP="0048532B">
      <w:pPr>
        <w:pStyle w:val="Prrafodelista"/>
        <w:numPr>
          <w:ilvl w:val="0"/>
          <w:numId w:val="2"/>
        </w:numPr>
      </w:pPr>
      <w:r>
        <w:t xml:space="preserve">La vía de administración de los tratamientos es oral excepto donde se indica que es intramuscular (IM), </w:t>
      </w:r>
      <w:proofErr w:type="spellStart"/>
      <w:r>
        <w:t>intravenoca</w:t>
      </w:r>
      <w:proofErr w:type="spellEnd"/>
      <w:r>
        <w:t xml:space="preserve"> (IV) u otra.</w:t>
      </w:r>
    </w:p>
    <w:p w:rsidR="0048532B" w:rsidRDefault="0048532B" w:rsidP="0048532B">
      <w:pPr>
        <w:pStyle w:val="Prrafodelista"/>
        <w:numPr>
          <w:ilvl w:val="0"/>
          <w:numId w:val="2"/>
        </w:numPr>
      </w:pPr>
      <w:r>
        <w:t xml:space="preserve">Se debe tratar al paciente de forma concomitante para infección por C. </w:t>
      </w:r>
      <w:proofErr w:type="spellStart"/>
      <w:r>
        <w:t>Trachomatis</w:t>
      </w:r>
      <w:proofErr w:type="spellEnd"/>
      <w:r>
        <w:t xml:space="preserve"> en caso de que ésta no pude ser descartada. </w:t>
      </w:r>
    </w:p>
    <w:p w:rsidR="009C3EE0" w:rsidRDefault="009C3EE0" w:rsidP="009E3FE1">
      <w:pPr>
        <w:jc w:val="center"/>
      </w:pPr>
    </w:p>
    <w:p w:rsidR="009E3FE1" w:rsidRPr="009C3EE0" w:rsidRDefault="009E3FE1" w:rsidP="009E3FE1">
      <w:pPr>
        <w:jc w:val="center"/>
        <w:rPr>
          <w:sz w:val="32"/>
          <w:szCs w:val="32"/>
        </w:rPr>
      </w:pPr>
      <w:r w:rsidRPr="009C3EE0">
        <w:rPr>
          <w:sz w:val="32"/>
          <w:szCs w:val="32"/>
        </w:rPr>
        <w:lastRenderedPageBreak/>
        <w:t>Tratamientos recomendados</w:t>
      </w:r>
      <w:r w:rsidR="009C3EE0" w:rsidRPr="009C3EE0">
        <w:rPr>
          <w:sz w:val="32"/>
          <w:szCs w:val="32"/>
        </w:rPr>
        <w:t>-2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9E3FE1" w:rsidTr="004646C7">
        <w:tc>
          <w:tcPr>
            <w:tcW w:w="1980" w:type="dxa"/>
          </w:tcPr>
          <w:p w:rsidR="009E3FE1" w:rsidRDefault="009E3FE1" w:rsidP="004646C7">
            <w:r>
              <w:t>Patología</w:t>
            </w:r>
          </w:p>
        </w:tc>
        <w:tc>
          <w:tcPr>
            <w:tcW w:w="6514" w:type="dxa"/>
          </w:tcPr>
          <w:p w:rsidR="009E3FE1" w:rsidRDefault="009E3FE1" w:rsidP="004646C7">
            <w:r>
              <w:t>Tratamiento</w:t>
            </w:r>
            <w:r w:rsidRPr="00FB3C65">
              <w:rPr>
                <w:vertAlign w:val="superscript"/>
              </w:rPr>
              <w:t>1</w:t>
            </w:r>
          </w:p>
        </w:tc>
      </w:tr>
      <w:tr w:rsidR="009E3FE1" w:rsidTr="004646C7">
        <w:tc>
          <w:tcPr>
            <w:tcW w:w="1980" w:type="dxa"/>
          </w:tcPr>
          <w:p w:rsidR="009E3FE1" w:rsidRDefault="009E3FE1" w:rsidP="004646C7">
            <w:r>
              <w:t xml:space="preserve">Linfogranuloma </w:t>
            </w:r>
            <w:proofErr w:type="spellStart"/>
            <w:r>
              <w:t>venéro</w:t>
            </w:r>
            <w:proofErr w:type="spellEnd"/>
          </w:p>
        </w:tc>
        <w:tc>
          <w:tcPr>
            <w:tcW w:w="6514" w:type="dxa"/>
          </w:tcPr>
          <w:p w:rsidR="009E3FE1" w:rsidRDefault="009E3FE1" w:rsidP="009E3FE1">
            <w:pPr>
              <w:pStyle w:val="Prrafodelista"/>
              <w:numPr>
                <w:ilvl w:val="0"/>
                <w:numId w:val="3"/>
              </w:numPr>
            </w:pPr>
            <w:r>
              <w:t xml:space="preserve">Doxiciclina 100 mg, dos veces al día durante 21 días </w:t>
            </w:r>
          </w:p>
          <w:p w:rsidR="009E3FE1" w:rsidRDefault="009E3FE1" w:rsidP="004646C7"/>
          <w:p w:rsidR="009E3FE1" w:rsidRDefault="009E3FE1" w:rsidP="004646C7">
            <w:r>
              <w:t>Régimen alternativo</w:t>
            </w:r>
          </w:p>
          <w:p w:rsidR="009E3FE1" w:rsidRDefault="009E3FE1" w:rsidP="009E3FE1">
            <w:pPr>
              <w:pStyle w:val="Prrafodelista"/>
              <w:numPr>
                <w:ilvl w:val="0"/>
                <w:numId w:val="3"/>
              </w:numPr>
            </w:pPr>
            <w:r>
              <w:t>Eritromicina base 500mg, cuatro veces al día durante 21 días</w:t>
            </w:r>
          </w:p>
        </w:tc>
      </w:tr>
      <w:tr w:rsidR="009E3FE1" w:rsidTr="004646C7">
        <w:tc>
          <w:tcPr>
            <w:tcW w:w="1980" w:type="dxa"/>
          </w:tcPr>
          <w:p w:rsidR="009E3FE1" w:rsidRDefault="009E3FE1" w:rsidP="004646C7">
            <w:r>
              <w:t xml:space="preserve">Pediculosis </w:t>
            </w:r>
          </w:p>
          <w:p w:rsidR="009E3FE1" w:rsidRDefault="009E3FE1" w:rsidP="004646C7">
            <w:r>
              <w:t>Pubis</w:t>
            </w:r>
          </w:p>
        </w:tc>
        <w:tc>
          <w:tcPr>
            <w:tcW w:w="6514" w:type="dxa"/>
          </w:tcPr>
          <w:p w:rsidR="009E3FE1" w:rsidRDefault="009E3FE1" w:rsidP="009E3FE1">
            <w:pPr>
              <w:pStyle w:val="Prrafodelista"/>
              <w:numPr>
                <w:ilvl w:val="0"/>
                <w:numId w:val="3"/>
              </w:numPr>
            </w:pPr>
            <w:r>
              <w:t>Permetrina crema 1% (aplicar en zona afectada y lavar al cabo de 10 minutos)</w:t>
            </w:r>
          </w:p>
          <w:p w:rsidR="009E3FE1" w:rsidRDefault="009E3FE1" w:rsidP="009E3FE1">
            <w:pPr>
              <w:pStyle w:val="Prrafodelista"/>
              <w:numPr>
                <w:ilvl w:val="0"/>
                <w:numId w:val="3"/>
              </w:numPr>
            </w:pPr>
            <w:r>
              <w:t xml:space="preserve">Piretrinas con </w:t>
            </w:r>
            <w:proofErr w:type="spellStart"/>
            <w:r>
              <w:t>butóxido</w:t>
            </w:r>
            <w:proofErr w:type="spellEnd"/>
            <w:r>
              <w:t xml:space="preserve"> de </w:t>
            </w:r>
            <w:proofErr w:type="spellStart"/>
            <w:r>
              <w:t>piperonillo</w:t>
            </w:r>
            <w:proofErr w:type="spellEnd"/>
            <w:r>
              <w:t xml:space="preserve"> (aplicar en zona afectada y lavar al cabo de 10 minutos)</w:t>
            </w:r>
          </w:p>
          <w:p w:rsidR="009E3FE1" w:rsidRDefault="009E3FE1" w:rsidP="004646C7"/>
          <w:p w:rsidR="009E3FE1" w:rsidRDefault="009E3FE1" w:rsidP="004646C7">
            <w:r>
              <w:t xml:space="preserve">Régimen alternativo </w:t>
            </w:r>
          </w:p>
          <w:p w:rsidR="009E3FE1" w:rsidRDefault="009E3FE1" w:rsidP="009E3FE1">
            <w:pPr>
              <w:pStyle w:val="Prrafodelista"/>
              <w:numPr>
                <w:ilvl w:val="0"/>
                <w:numId w:val="3"/>
              </w:numPr>
            </w:pPr>
            <w:proofErr w:type="spellStart"/>
            <w:r>
              <w:t>Malation</w:t>
            </w:r>
            <w:proofErr w:type="spellEnd"/>
            <w:r>
              <w:t xml:space="preserve"> 0,5 % loción aplicada dejando actuar 8-12 horas y lavar posteriormente </w:t>
            </w:r>
          </w:p>
          <w:p w:rsidR="009E3FE1" w:rsidRDefault="009E3FE1" w:rsidP="004646C7">
            <w:r>
              <w:t xml:space="preserve">Medidas de </w:t>
            </w:r>
            <w:proofErr w:type="spellStart"/>
            <w:r>
              <w:t>desinfestación</w:t>
            </w:r>
            <w:proofErr w:type="spellEnd"/>
            <w:r>
              <w:t xml:space="preserve">: Lavar la ropa </w:t>
            </w:r>
            <w:proofErr w:type="spellStart"/>
            <w:r>
              <w:t>pontencialmente</w:t>
            </w:r>
            <w:proofErr w:type="spellEnd"/>
            <w:r>
              <w:t xml:space="preserve"> contaminada a elevada temperatura (&gt;50º C), o mantenerla en una bolsa de plástico el menos 72 horas</w:t>
            </w:r>
          </w:p>
        </w:tc>
      </w:tr>
      <w:tr w:rsidR="009E3FE1" w:rsidTr="004646C7">
        <w:tc>
          <w:tcPr>
            <w:tcW w:w="1980" w:type="dxa"/>
          </w:tcPr>
          <w:p w:rsidR="009E3FE1" w:rsidRDefault="009E3FE1" w:rsidP="004646C7">
            <w:r>
              <w:t>Sifilis</w:t>
            </w:r>
            <w:r w:rsidRPr="00FB3C65">
              <w:rPr>
                <w:vertAlign w:val="superscript"/>
              </w:rPr>
              <w:t>3</w:t>
            </w:r>
          </w:p>
        </w:tc>
        <w:tc>
          <w:tcPr>
            <w:tcW w:w="6514" w:type="dxa"/>
          </w:tcPr>
          <w:p w:rsidR="009E3FE1" w:rsidRDefault="009E3FE1" w:rsidP="004646C7">
            <w:r>
              <w:t>Primaria, Secundaria, Latente precoz</w:t>
            </w:r>
          </w:p>
          <w:p w:rsidR="009E3FE1" w:rsidRDefault="009E3FE1" w:rsidP="009E3FE1">
            <w:pPr>
              <w:pStyle w:val="Prrafodelista"/>
              <w:numPr>
                <w:ilvl w:val="0"/>
                <w:numId w:val="3"/>
              </w:numPr>
            </w:pPr>
            <w:r>
              <w:t xml:space="preserve">Penicilina benzatina G, 2.4 millones de unidades IM, dosis única </w:t>
            </w:r>
          </w:p>
          <w:p w:rsidR="009E3FE1" w:rsidRDefault="009E3FE1" w:rsidP="004646C7">
            <w:r>
              <w:t>Si alergia a la penicilina:</w:t>
            </w:r>
          </w:p>
          <w:p w:rsidR="009E3FE1" w:rsidRDefault="009E3FE1" w:rsidP="009E3FE1">
            <w:pPr>
              <w:pStyle w:val="Prrafodelista"/>
              <w:numPr>
                <w:ilvl w:val="0"/>
                <w:numId w:val="3"/>
              </w:numPr>
            </w:pPr>
            <w:r>
              <w:t>Doxiciclina 100 mg, dos veces al día durante 14 días.</w:t>
            </w:r>
          </w:p>
          <w:p w:rsidR="009E3FE1" w:rsidRDefault="009E3FE1" w:rsidP="004646C7"/>
          <w:p w:rsidR="009E3FE1" w:rsidRDefault="009E3FE1" w:rsidP="004646C7">
            <w:r>
              <w:t>Latente tardía o de duración incierta</w:t>
            </w:r>
          </w:p>
          <w:p w:rsidR="009E3FE1" w:rsidRDefault="009E3FE1" w:rsidP="009E3FE1">
            <w:pPr>
              <w:pStyle w:val="Prrafodelista"/>
              <w:numPr>
                <w:ilvl w:val="0"/>
                <w:numId w:val="3"/>
              </w:numPr>
            </w:pPr>
            <w:r>
              <w:t xml:space="preserve">Penicilina benzatina G. 2.4 millones unidades IM, tres dosis separadas entre </w:t>
            </w:r>
            <w:proofErr w:type="spellStart"/>
            <w:r>
              <w:t>si</w:t>
            </w:r>
            <w:proofErr w:type="spellEnd"/>
            <w:r>
              <w:t xml:space="preserve"> 1 semana</w:t>
            </w:r>
          </w:p>
          <w:p w:rsidR="009E3FE1" w:rsidRDefault="009E3FE1" w:rsidP="004646C7">
            <w:r>
              <w:t xml:space="preserve">Si alergia a penicilina </w:t>
            </w:r>
          </w:p>
          <w:p w:rsidR="009E3FE1" w:rsidRDefault="009E3FE1" w:rsidP="009E3FE1">
            <w:pPr>
              <w:pStyle w:val="Prrafodelista"/>
              <w:numPr>
                <w:ilvl w:val="0"/>
                <w:numId w:val="3"/>
              </w:numPr>
            </w:pPr>
            <w:r>
              <w:t>Doxiciclina 100 mg, dos veces al día durante 28 días</w:t>
            </w:r>
          </w:p>
          <w:p w:rsidR="009E3FE1" w:rsidRDefault="009E3FE1" w:rsidP="004646C7">
            <w:proofErr w:type="spellStart"/>
            <w:r>
              <w:t>Neurosífilis</w:t>
            </w:r>
            <w:proofErr w:type="spellEnd"/>
            <w:r>
              <w:t xml:space="preserve"> </w:t>
            </w:r>
          </w:p>
          <w:p w:rsidR="009E3FE1" w:rsidRDefault="009E3FE1" w:rsidP="009E3FE1">
            <w:pPr>
              <w:pStyle w:val="Prrafodelista"/>
              <w:numPr>
                <w:ilvl w:val="0"/>
                <w:numId w:val="3"/>
              </w:numPr>
            </w:pPr>
            <w:r>
              <w:t>Penicilina G cristalina acuosa, 18-24 millones unidades diarias, vía IV, repartidas en 3-4 millones unidades cada 4 horas o la dosis total en infusión continua durante 10-14 días</w:t>
            </w:r>
          </w:p>
          <w:p w:rsidR="009E3FE1" w:rsidRDefault="009E3FE1" w:rsidP="004646C7">
            <w:r>
              <w:t>Régimen alternativo</w:t>
            </w:r>
          </w:p>
          <w:p w:rsidR="009E3FE1" w:rsidRDefault="009E3FE1" w:rsidP="009E3FE1">
            <w:pPr>
              <w:pStyle w:val="Prrafodelista"/>
              <w:numPr>
                <w:ilvl w:val="0"/>
                <w:numId w:val="3"/>
              </w:numPr>
            </w:pPr>
            <w:r>
              <w:t xml:space="preserve">Penicilina procaína 2,4 millones unidades IM diariamente más </w:t>
            </w:r>
            <w:proofErr w:type="spellStart"/>
            <w:r>
              <w:t>probenecid</w:t>
            </w:r>
            <w:proofErr w:type="spellEnd"/>
            <w:r>
              <w:t xml:space="preserve"> 500 mg 4 veces al día vía oral, manteniendo ambos fármacos durante 10-14 días</w:t>
            </w:r>
          </w:p>
        </w:tc>
      </w:tr>
    </w:tbl>
    <w:p w:rsidR="009E3FE1" w:rsidRDefault="009E3FE1" w:rsidP="009E3FE1">
      <w:r>
        <w:t>*La vía de administración de los tratamientos es oral excepto donde se indica que es intramuscular (IM), intravenosa (IV) u otra.</w:t>
      </w:r>
    </w:p>
    <w:p w:rsidR="009E3FE1" w:rsidRDefault="009E3FE1" w:rsidP="009E3FE1">
      <w:r>
        <w:t xml:space="preserve">3. La combinación de 2 ml de lidocaína al 2% a partes iguales con el diluyente disminuye el dolor de la punción y puede aumentar el cumplimiento. </w:t>
      </w:r>
    </w:p>
    <w:p w:rsidR="009E3FE1" w:rsidRDefault="009E3FE1" w:rsidP="009E3FE1">
      <w:pPr>
        <w:ind w:left="360"/>
      </w:pPr>
    </w:p>
    <w:p w:rsidR="00FC6BEE" w:rsidRDefault="00FC6BEE" w:rsidP="009E3FE1">
      <w:pPr>
        <w:ind w:left="360"/>
      </w:pPr>
    </w:p>
    <w:p w:rsidR="00FC6BEE" w:rsidRDefault="00FC6BEE" w:rsidP="009E3FE1">
      <w:pPr>
        <w:ind w:left="360"/>
      </w:pPr>
    </w:p>
    <w:p w:rsidR="00FC6BEE" w:rsidRDefault="00FC6BEE" w:rsidP="009E3FE1">
      <w:pPr>
        <w:ind w:left="360"/>
      </w:pPr>
    </w:p>
    <w:p w:rsidR="00FC6BEE" w:rsidRDefault="00FC6BEE" w:rsidP="009E3FE1">
      <w:pPr>
        <w:ind w:left="360"/>
      </w:pPr>
    </w:p>
    <w:p w:rsidR="00FC6BEE" w:rsidRDefault="00FC6BEE" w:rsidP="009E3FE1">
      <w:pPr>
        <w:ind w:left="360"/>
      </w:pPr>
    </w:p>
    <w:p w:rsidR="009C3EE0" w:rsidRDefault="009C3EE0" w:rsidP="00DD2636">
      <w:pPr>
        <w:ind w:left="360"/>
        <w:jc w:val="center"/>
      </w:pPr>
    </w:p>
    <w:p w:rsidR="00FC6BEE" w:rsidRPr="009C3EE0" w:rsidRDefault="00DD2636" w:rsidP="00DD2636">
      <w:pPr>
        <w:ind w:left="360"/>
        <w:jc w:val="center"/>
        <w:rPr>
          <w:sz w:val="32"/>
          <w:szCs w:val="32"/>
        </w:rPr>
      </w:pPr>
      <w:r w:rsidRPr="009C3EE0">
        <w:rPr>
          <w:sz w:val="32"/>
          <w:szCs w:val="32"/>
        </w:rPr>
        <w:lastRenderedPageBreak/>
        <w:t xml:space="preserve">Tratamientos recomendados </w:t>
      </w:r>
      <w:r w:rsidR="009C3EE0">
        <w:rPr>
          <w:sz w:val="32"/>
          <w:szCs w:val="32"/>
        </w:rPr>
        <w:t>-3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2045"/>
        <w:gridCol w:w="6089"/>
      </w:tblGrid>
      <w:tr w:rsidR="00FC6BEE" w:rsidTr="00F50459">
        <w:tc>
          <w:tcPr>
            <w:tcW w:w="2045" w:type="dxa"/>
          </w:tcPr>
          <w:p w:rsidR="00FC6BEE" w:rsidRPr="00F63B6F" w:rsidRDefault="00DD2636" w:rsidP="009E3FE1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Patología</w:t>
            </w:r>
          </w:p>
        </w:tc>
        <w:tc>
          <w:tcPr>
            <w:tcW w:w="6089" w:type="dxa"/>
          </w:tcPr>
          <w:p w:rsidR="00FC6BEE" w:rsidRPr="00F63B6F" w:rsidRDefault="00DD2636" w:rsidP="009E3FE1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Tratamiento</w:t>
            </w:r>
            <w:r w:rsidRPr="00F63B6F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FC6BEE" w:rsidTr="00F50459">
        <w:tc>
          <w:tcPr>
            <w:tcW w:w="2045" w:type="dxa"/>
          </w:tcPr>
          <w:p w:rsidR="00FC6BEE" w:rsidRPr="00F63B6F" w:rsidRDefault="00DD2636" w:rsidP="009E3FE1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Tricomoniasis</w:t>
            </w:r>
          </w:p>
        </w:tc>
        <w:tc>
          <w:tcPr>
            <w:tcW w:w="6089" w:type="dxa"/>
          </w:tcPr>
          <w:p w:rsidR="00FC6BEE" w:rsidRPr="00F63B6F" w:rsidRDefault="00F50459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Metronidazol 2 g, dosis únicas ó</w:t>
            </w:r>
          </w:p>
          <w:p w:rsidR="00F50459" w:rsidRPr="00F63B6F" w:rsidRDefault="00F50459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Tinidazol 2 g, dosis única</w:t>
            </w:r>
          </w:p>
          <w:p w:rsidR="00F50459" w:rsidRPr="00F63B6F" w:rsidRDefault="00F50459" w:rsidP="00F50459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 xml:space="preserve">Régimen alternativo </w:t>
            </w:r>
          </w:p>
          <w:p w:rsidR="00F50459" w:rsidRPr="00F63B6F" w:rsidRDefault="00F50459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Metronidazol 500 mg, dos veces al día durante 7 días</w:t>
            </w:r>
          </w:p>
        </w:tc>
      </w:tr>
      <w:tr w:rsidR="00FC6BEE" w:rsidTr="00F50459">
        <w:tc>
          <w:tcPr>
            <w:tcW w:w="2045" w:type="dxa"/>
          </w:tcPr>
          <w:p w:rsidR="00FC6BEE" w:rsidRPr="00F63B6F" w:rsidRDefault="00F50459" w:rsidP="009E3FE1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Uretritis no especificada</w:t>
            </w:r>
          </w:p>
        </w:tc>
        <w:tc>
          <w:tcPr>
            <w:tcW w:w="6089" w:type="dxa"/>
          </w:tcPr>
          <w:p w:rsidR="00FC6BEE" w:rsidRPr="00F63B6F" w:rsidRDefault="00F50459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 xml:space="preserve">Cefixima 400 mg, dosis única + Azitromicina 1g, dosis única </w:t>
            </w:r>
          </w:p>
          <w:p w:rsidR="00F50459" w:rsidRPr="00F63B6F" w:rsidRDefault="00F50459" w:rsidP="00F50459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 xml:space="preserve">Régimen alternativo </w:t>
            </w:r>
          </w:p>
          <w:p w:rsidR="00F50459" w:rsidRPr="00F63B6F" w:rsidRDefault="00F50459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 xml:space="preserve">Ceftriaxona 250 mg, IM, dosis única + </w:t>
            </w:r>
            <w:proofErr w:type="spellStart"/>
            <w:r w:rsidRPr="00F63B6F">
              <w:rPr>
                <w:sz w:val="20"/>
                <w:szCs w:val="20"/>
              </w:rPr>
              <w:t>Doxiciclima</w:t>
            </w:r>
            <w:proofErr w:type="spellEnd"/>
            <w:r w:rsidRPr="00F63B6F">
              <w:rPr>
                <w:sz w:val="20"/>
                <w:szCs w:val="20"/>
              </w:rPr>
              <w:t xml:space="preserve"> 100 mg, dos veces al día durante 7 días</w:t>
            </w:r>
          </w:p>
        </w:tc>
      </w:tr>
      <w:tr w:rsidR="00FC6BEE" w:rsidTr="00F50459">
        <w:tc>
          <w:tcPr>
            <w:tcW w:w="2045" w:type="dxa"/>
          </w:tcPr>
          <w:p w:rsidR="00FC6BEE" w:rsidRPr="00F63B6F" w:rsidRDefault="00F50459" w:rsidP="009E3FE1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 xml:space="preserve">Uretritis recurrente o persistente (descartada infección por N. </w:t>
            </w:r>
            <w:proofErr w:type="spellStart"/>
            <w:r w:rsidRPr="00F63B6F">
              <w:rPr>
                <w:sz w:val="20"/>
                <w:szCs w:val="20"/>
              </w:rPr>
              <w:t>gonorrhoeae</w:t>
            </w:r>
            <w:proofErr w:type="spellEnd"/>
            <w:r w:rsidRPr="00F63B6F">
              <w:rPr>
                <w:sz w:val="20"/>
                <w:szCs w:val="20"/>
              </w:rPr>
              <w:t xml:space="preserve"> y C. </w:t>
            </w:r>
            <w:proofErr w:type="spellStart"/>
            <w:r w:rsidRPr="00F63B6F">
              <w:rPr>
                <w:sz w:val="20"/>
                <w:szCs w:val="20"/>
              </w:rPr>
              <w:t>trachomatis</w:t>
            </w:r>
            <w:proofErr w:type="spellEnd"/>
            <w:r w:rsidRPr="00F63B6F">
              <w:rPr>
                <w:sz w:val="20"/>
                <w:szCs w:val="20"/>
              </w:rPr>
              <w:t>)</w:t>
            </w:r>
          </w:p>
        </w:tc>
        <w:tc>
          <w:tcPr>
            <w:tcW w:w="6089" w:type="dxa"/>
          </w:tcPr>
          <w:p w:rsidR="00FC6BEE" w:rsidRPr="00F63B6F" w:rsidRDefault="00F50459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Metronidazol 2 g, dosis única</w:t>
            </w:r>
          </w:p>
          <w:p w:rsidR="00F50459" w:rsidRPr="00F63B6F" w:rsidRDefault="00F50459" w:rsidP="00F50459">
            <w:pPr>
              <w:pStyle w:val="Prrafodelista"/>
              <w:rPr>
                <w:sz w:val="20"/>
                <w:szCs w:val="20"/>
              </w:rPr>
            </w:pPr>
          </w:p>
          <w:p w:rsidR="00F50459" w:rsidRPr="00F63B6F" w:rsidRDefault="00F50459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Tinidazol 2g, dosis única más</w:t>
            </w:r>
          </w:p>
          <w:p w:rsidR="00F50459" w:rsidRPr="00F63B6F" w:rsidRDefault="00F50459" w:rsidP="00F50459">
            <w:pPr>
              <w:rPr>
                <w:sz w:val="20"/>
                <w:szCs w:val="20"/>
              </w:rPr>
            </w:pPr>
          </w:p>
          <w:p w:rsidR="00F50459" w:rsidRPr="00F63B6F" w:rsidRDefault="00F50459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Azitromicina 1g, dosis única (si no se había utilizado para el episodio inicial)</w:t>
            </w:r>
          </w:p>
        </w:tc>
      </w:tr>
      <w:tr w:rsidR="00FC6BEE" w:rsidTr="00F50459">
        <w:tc>
          <w:tcPr>
            <w:tcW w:w="2045" w:type="dxa"/>
          </w:tcPr>
          <w:p w:rsidR="00FC6BEE" w:rsidRPr="00F63B6F" w:rsidRDefault="00F50459" w:rsidP="009E3FE1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Vaginosis Bacteriana</w:t>
            </w:r>
          </w:p>
        </w:tc>
        <w:tc>
          <w:tcPr>
            <w:tcW w:w="6089" w:type="dxa"/>
          </w:tcPr>
          <w:p w:rsidR="00FC6BEE" w:rsidRPr="00F63B6F" w:rsidRDefault="00F50459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Metronidazol 500 mg, dos veces al día durante 7 días ó</w:t>
            </w:r>
          </w:p>
          <w:p w:rsidR="00F50459" w:rsidRPr="00F63B6F" w:rsidRDefault="00F50459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Metronidazol gel 0.75 %, una vez al día durante 5 días ó</w:t>
            </w:r>
          </w:p>
          <w:p w:rsidR="00F50459" w:rsidRPr="00F63B6F" w:rsidRDefault="00F50459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Metronidazol crema 5%, una vez al día durante 7 días</w:t>
            </w:r>
          </w:p>
          <w:p w:rsidR="00F50459" w:rsidRPr="00F63B6F" w:rsidRDefault="00F50459" w:rsidP="00F50459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 xml:space="preserve">Régimen alternativo </w:t>
            </w:r>
          </w:p>
          <w:p w:rsidR="00F50459" w:rsidRPr="00F63B6F" w:rsidRDefault="00F50459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Clindamicina 300mg, dos veces al día durante 7 días ó</w:t>
            </w:r>
          </w:p>
          <w:p w:rsidR="00DC11FD" w:rsidRPr="00F63B6F" w:rsidRDefault="00DC11FD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 xml:space="preserve">Clindamicina óvulos vaginales 100 mg, uno diario durante 3días </w:t>
            </w:r>
          </w:p>
          <w:p w:rsidR="00DC11FD" w:rsidRPr="00F63B6F" w:rsidRDefault="00DC11FD" w:rsidP="00F50459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Tinidazol 2g, una vez al día durante 2 días</w:t>
            </w:r>
          </w:p>
        </w:tc>
      </w:tr>
      <w:tr w:rsidR="00FC6BEE" w:rsidTr="00F50459">
        <w:tc>
          <w:tcPr>
            <w:tcW w:w="2045" w:type="dxa"/>
          </w:tcPr>
          <w:p w:rsidR="00FC6BEE" w:rsidRPr="00F63B6F" w:rsidRDefault="00F50459" w:rsidP="009E3FE1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Verrugas genitales</w:t>
            </w:r>
          </w:p>
        </w:tc>
        <w:tc>
          <w:tcPr>
            <w:tcW w:w="6089" w:type="dxa"/>
          </w:tcPr>
          <w:p w:rsidR="00DC11FD" w:rsidRPr="00F63B6F" w:rsidRDefault="00DC11FD" w:rsidP="009E3FE1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Tratamiento tópico aplicado por el paciente</w:t>
            </w:r>
          </w:p>
          <w:p w:rsidR="00DC11FD" w:rsidRPr="00F63B6F" w:rsidRDefault="00DC11FD" w:rsidP="00DC11FD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proofErr w:type="spellStart"/>
            <w:r w:rsidRPr="00F63B6F">
              <w:rPr>
                <w:sz w:val="20"/>
                <w:szCs w:val="20"/>
              </w:rPr>
              <w:t>Podofilotoxina</w:t>
            </w:r>
            <w:proofErr w:type="spellEnd"/>
            <w:r w:rsidRPr="00F63B6F">
              <w:rPr>
                <w:sz w:val="20"/>
                <w:szCs w:val="20"/>
              </w:rPr>
              <w:t xml:space="preserve"> 0.5% solución o crema cada 12 h durante 3 días; descansar 4 días y aplicar un máximo de 4 ciclos (no deben superarse un área de 10cm2 o un volumen de </w:t>
            </w:r>
            <w:proofErr w:type="spellStart"/>
            <w:r w:rsidRPr="00F63B6F">
              <w:rPr>
                <w:sz w:val="20"/>
                <w:szCs w:val="20"/>
              </w:rPr>
              <w:t>podofilotoxina</w:t>
            </w:r>
            <w:proofErr w:type="spellEnd"/>
            <w:r w:rsidRPr="00F63B6F">
              <w:rPr>
                <w:sz w:val="20"/>
                <w:szCs w:val="20"/>
              </w:rPr>
              <w:t xml:space="preserve"> de 0.5 ml). Puede provocar irritación local y </w:t>
            </w:r>
            <w:proofErr w:type="spellStart"/>
            <w:r w:rsidRPr="00F63B6F">
              <w:rPr>
                <w:sz w:val="20"/>
                <w:szCs w:val="20"/>
              </w:rPr>
              <w:t>esta</w:t>
            </w:r>
            <w:proofErr w:type="spellEnd"/>
            <w:r w:rsidRPr="00F63B6F">
              <w:rPr>
                <w:sz w:val="20"/>
                <w:szCs w:val="20"/>
              </w:rPr>
              <w:t xml:space="preserve"> contraindicado en lesiones mucosas y en el embarazo ó</w:t>
            </w:r>
          </w:p>
          <w:p w:rsidR="00DC11FD" w:rsidRPr="00F63B6F" w:rsidRDefault="00DC11FD" w:rsidP="00DC11FD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proofErr w:type="spellStart"/>
            <w:r w:rsidRPr="00F63B6F">
              <w:rPr>
                <w:sz w:val="20"/>
                <w:szCs w:val="20"/>
              </w:rPr>
              <w:t>Imiquimod</w:t>
            </w:r>
            <w:proofErr w:type="spellEnd"/>
            <w:r w:rsidRPr="00F63B6F">
              <w:rPr>
                <w:sz w:val="20"/>
                <w:szCs w:val="20"/>
              </w:rPr>
              <w:t xml:space="preserve"> 5% crema 3 veces por semana durante 16 semanas como máximo (lacar al cabo de 6-10h). Puede provocar irritación. Contraindicado en el embarazo </w:t>
            </w:r>
          </w:p>
          <w:p w:rsidR="00DC11FD" w:rsidRPr="00F63B6F" w:rsidRDefault="00DC11FD" w:rsidP="00DC11FD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Tratamiento aplicado por el profesional sanitario</w:t>
            </w:r>
          </w:p>
          <w:p w:rsidR="00DC11FD" w:rsidRPr="00F63B6F" w:rsidRDefault="00DC11FD" w:rsidP="00DC11FD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Crioterapia (nitrógeno líquido) cada 1 o 2 semanas ó</w:t>
            </w:r>
          </w:p>
          <w:p w:rsidR="00DC11FD" w:rsidRPr="00F63B6F" w:rsidRDefault="00DC11FD" w:rsidP="00DC11FD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proofErr w:type="spellStart"/>
            <w:r w:rsidRPr="00F63B6F">
              <w:rPr>
                <w:sz w:val="20"/>
                <w:szCs w:val="20"/>
              </w:rPr>
              <w:t>Podofilino</w:t>
            </w:r>
            <w:proofErr w:type="spellEnd"/>
            <w:r w:rsidRPr="00F63B6F">
              <w:rPr>
                <w:sz w:val="20"/>
                <w:szCs w:val="20"/>
              </w:rPr>
              <w:t xml:space="preserve"> resina 10-25% (dejar secar y lavar al cabo de 4 h). Es teratógeno y está contraindicado en el embarazo ó</w:t>
            </w:r>
          </w:p>
          <w:p w:rsidR="00DC11FD" w:rsidRPr="00F63B6F" w:rsidRDefault="00DC11FD" w:rsidP="00DC11FD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 xml:space="preserve">Acido tricloroacético o </w:t>
            </w:r>
            <w:proofErr w:type="spellStart"/>
            <w:r w:rsidRPr="00F63B6F">
              <w:rPr>
                <w:sz w:val="20"/>
                <w:szCs w:val="20"/>
              </w:rPr>
              <w:t>bicloroacético</w:t>
            </w:r>
            <w:proofErr w:type="spellEnd"/>
            <w:r w:rsidRPr="00F63B6F">
              <w:rPr>
                <w:sz w:val="20"/>
                <w:szCs w:val="20"/>
              </w:rPr>
              <w:t xml:space="preserve"> 80-90% ó</w:t>
            </w:r>
          </w:p>
          <w:p w:rsidR="00DC11FD" w:rsidRPr="00F63B6F" w:rsidRDefault="00DC11FD" w:rsidP="00DC11FD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Extirpación quirúrgica (raspado, electrocirugía, láser)</w:t>
            </w:r>
          </w:p>
          <w:p w:rsidR="00DC11FD" w:rsidRPr="00F63B6F" w:rsidRDefault="00DC11FD" w:rsidP="009E3FE1">
            <w:pPr>
              <w:rPr>
                <w:sz w:val="20"/>
                <w:szCs w:val="20"/>
              </w:rPr>
            </w:pPr>
          </w:p>
        </w:tc>
      </w:tr>
      <w:tr w:rsidR="00FC6BEE" w:rsidTr="00F50459">
        <w:tc>
          <w:tcPr>
            <w:tcW w:w="2045" w:type="dxa"/>
          </w:tcPr>
          <w:p w:rsidR="00FC6BEE" w:rsidRPr="00F63B6F" w:rsidRDefault="00F50459" w:rsidP="009E3FE1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 xml:space="preserve">Vulvovaginitis </w:t>
            </w:r>
            <w:proofErr w:type="spellStart"/>
            <w:r w:rsidRPr="00F63B6F">
              <w:rPr>
                <w:sz w:val="20"/>
                <w:szCs w:val="20"/>
              </w:rPr>
              <w:t>candidiásica</w:t>
            </w:r>
            <w:proofErr w:type="spellEnd"/>
            <w:r w:rsidRPr="00F63B6F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89" w:type="dxa"/>
          </w:tcPr>
          <w:p w:rsidR="00FC6BEE" w:rsidRPr="00F63B6F" w:rsidRDefault="00F63B6F" w:rsidP="009E3FE1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Regímenes intravaginales</w:t>
            </w:r>
          </w:p>
          <w:p w:rsidR="00DC11FD" w:rsidRPr="00F63B6F" w:rsidRDefault="00F63B6F" w:rsidP="00F63B6F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Clotrimazol 1% crema, durante 7-14 días</w:t>
            </w:r>
          </w:p>
          <w:p w:rsidR="00DC11FD" w:rsidRPr="00F63B6F" w:rsidRDefault="00F63B6F" w:rsidP="00F63B6F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Clotrimazol 100 mg, óvulos vaginales, durante 7 días</w:t>
            </w:r>
          </w:p>
          <w:p w:rsidR="00DC11FD" w:rsidRPr="00F63B6F" w:rsidRDefault="00F63B6F" w:rsidP="00F63B6F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Miconazol crema 2%, durante 7 días</w:t>
            </w:r>
          </w:p>
          <w:p w:rsidR="00DC11FD" w:rsidRPr="00F63B6F" w:rsidRDefault="00F63B6F" w:rsidP="00F63B6F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Miconazol 100 mg, óvulos vaginales, durante 7 días</w:t>
            </w:r>
          </w:p>
          <w:p w:rsidR="00DC11FD" w:rsidRPr="00F63B6F" w:rsidRDefault="00F63B6F" w:rsidP="00F63B6F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proofErr w:type="spellStart"/>
            <w:r w:rsidRPr="00F63B6F">
              <w:rPr>
                <w:sz w:val="20"/>
                <w:szCs w:val="20"/>
              </w:rPr>
              <w:t>Terconazol</w:t>
            </w:r>
            <w:proofErr w:type="spellEnd"/>
            <w:r w:rsidRPr="00F63B6F">
              <w:rPr>
                <w:sz w:val="20"/>
                <w:szCs w:val="20"/>
              </w:rPr>
              <w:t xml:space="preserve"> crema 0.8 % durante 3 días</w:t>
            </w:r>
          </w:p>
          <w:p w:rsidR="00DC11FD" w:rsidRPr="00F63B6F" w:rsidRDefault="00F63B6F" w:rsidP="00F63B6F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proofErr w:type="spellStart"/>
            <w:r w:rsidRPr="00F63B6F">
              <w:rPr>
                <w:sz w:val="20"/>
                <w:szCs w:val="20"/>
              </w:rPr>
              <w:t>Fenticonazol</w:t>
            </w:r>
            <w:proofErr w:type="spellEnd"/>
            <w:r w:rsidRPr="00F63B6F">
              <w:rPr>
                <w:sz w:val="20"/>
                <w:szCs w:val="20"/>
              </w:rPr>
              <w:t xml:space="preserve"> 200 mg, óvulos durante 3 días ó 600 mg un día</w:t>
            </w:r>
          </w:p>
          <w:p w:rsidR="00DC11FD" w:rsidRDefault="00F63B6F" w:rsidP="00F63B6F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 xml:space="preserve">Régimen oral </w:t>
            </w:r>
          </w:p>
          <w:p w:rsidR="00F63B6F" w:rsidRPr="00F63B6F" w:rsidRDefault="00F63B6F" w:rsidP="00F63B6F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Fluconazol 150 mg dosis única</w:t>
            </w:r>
          </w:p>
          <w:p w:rsidR="00DC11FD" w:rsidRPr="00F63B6F" w:rsidRDefault="00F63B6F" w:rsidP="00F63B6F">
            <w:pPr>
              <w:pStyle w:val="Prrafodelist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Itraconazol 200 mg, una vez al día durante 3 días</w:t>
            </w:r>
          </w:p>
        </w:tc>
      </w:tr>
    </w:tbl>
    <w:p w:rsidR="00FC6BEE" w:rsidRDefault="00F50459" w:rsidP="009E3FE1">
      <w:pPr>
        <w:ind w:left="360"/>
      </w:pPr>
      <w:r>
        <w:t xml:space="preserve">1La vía de administración de los tratamientos es oral excepto donde se indica que es intramuscular (IM), intravenosa (IV) u otra. </w:t>
      </w:r>
    </w:p>
    <w:p w:rsidR="00FC6BEE" w:rsidRDefault="00FC6BEE" w:rsidP="009E3FE1">
      <w:pPr>
        <w:ind w:left="360"/>
      </w:pPr>
    </w:p>
    <w:p w:rsidR="00FC6BEE" w:rsidRDefault="00FC6BEE" w:rsidP="009E3FE1">
      <w:pPr>
        <w:ind w:left="360"/>
      </w:pPr>
    </w:p>
    <w:p w:rsidR="009C3EE0" w:rsidRDefault="009C3EE0" w:rsidP="00DD2636">
      <w:pPr>
        <w:ind w:left="360"/>
        <w:jc w:val="center"/>
      </w:pPr>
    </w:p>
    <w:p w:rsidR="00FC6BEE" w:rsidRPr="009C3EE0" w:rsidRDefault="00DD2636" w:rsidP="00DD2636">
      <w:pPr>
        <w:ind w:left="360"/>
        <w:jc w:val="center"/>
        <w:rPr>
          <w:sz w:val="32"/>
          <w:szCs w:val="32"/>
        </w:rPr>
      </w:pPr>
      <w:r w:rsidRPr="009C3EE0">
        <w:rPr>
          <w:sz w:val="32"/>
          <w:szCs w:val="32"/>
        </w:rPr>
        <w:lastRenderedPageBreak/>
        <w:t xml:space="preserve">Búsqueda activa de casos e intervención sobre los contactos según ITS </w:t>
      </w:r>
    </w:p>
    <w:tbl>
      <w:tblPr>
        <w:tblStyle w:val="Tablaconcuadrcula"/>
        <w:tblW w:w="8424" w:type="dxa"/>
        <w:tblInd w:w="360" w:type="dxa"/>
        <w:tblLook w:val="04A0" w:firstRow="1" w:lastRow="0" w:firstColumn="1" w:lastColumn="0" w:noHBand="0" w:noVBand="1"/>
      </w:tblPr>
      <w:tblGrid>
        <w:gridCol w:w="2187"/>
        <w:gridCol w:w="3685"/>
        <w:gridCol w:w="2552"/>
      </w:tblGrid>
      <w:tr w:rsidR="00F63B6F" w:rsidTr="00116AB0">
        <w:tc>
          <w:tcPr>
            <w:tcW w:w="2187" w:type="dxa"/>
          </w:tcPr>
          <w:p w:rsidR="00DD2636" w:rsidRDefault="00F63B6F" w:rsidP="00DD2636">
            <w:pPr>
              <w:jc w:val="center"/>
            </w:pPr>
            <w:r>
              <w:t xml:space="preserve">Infección </w:t>
            </w:r>
          </w:p>
        </w:tc>
        <w:tc>
          <w:tcPr>
            <w:tcW w:w="3685" w:type="dxa"/>
          </w:tcPr>
          <w:p w:rsidR="00DD2636" w:rsidRDefault="00F63B6F" w:rsidP="00DD2636">
            <w:pPr>
              <w:jc w:val="center"/>
            </w:pPr>
            <w:r>
              <w:t>Periodo para la búsqueda de contactos</w:t>
            </w:r>
          </w:p>
        </w:tc>
        <w:tc>
          <w:tcPr>
            <w:tcW w:w="2552" w:type="dxa"/>
          </w:tcPr>
          <w:p w:rsidR="00DD2636" w:rsidRDefault="00F63B6F" w:rsidP="00DD2636">
            <w:pPr>
              <w:jc w:val="center"/>
            </w:pPr>
            <w:r>
              <w:t xml:space="preserve">Intervención sobre los contactos 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proofErr w:type="spellStart"/>
            <w:r>
              <w:t>Chancroide</w:t>
            </w:r>
            <w:proofErr w:type="spellEnd"/>
          </w:p>
        </w:tc>
        <w:tc>
          <w:tcPr>
            <w:tcW w:w="3685" w:type="dxa"/>
          </w:tcPr>
          <w:p w:rsidR="00DD2636" w:rsidRDefault="00C4461B" w:rsidP="00C4461B">
            <w:r>
              <w:t>10-15 días antes de la aparición de síntomas</w:t>
            </w:r>
          </w:p>
        </w:tc>
        <w:tc>
          <w:tcPr>
            <w:tcW w:w="2552" w:type="dxa"/>
          </w:tcPr>
          <w:p w:rsidR="00DD2636" w:rsidRDefault="000E2417" w:rsidP="00C4461B">
            <w:r>
              <w:t>Tratamiento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r>
              <w:t>Clamidia</w:t>
            </w:r>
          </w:p>
        </w:tc>
        <w:tc>
          <w:tcPr>
            <w:tcW w:w="3685" w:type="dxa"/>
          </w:tcPr>
          <w:p w:rsidR="00DD2636" w:rsidRDefault="00C4461B" w:rsidP="00C4461B">
            <w:r>
              <w:t>60 días antes del inicio de síntomas o diagnóstico</w:t>
            </w:r>
          </w:p>
        </w:tc>
        <w:tc>
          <w:tcPr>
            <w:tcW w:w="2552" w:type="dxa"/>
          </w:tcPr>
          <w:p w:rsidR="00DD2636" w:rsidRDefault="000E2417" w:rsidP="00C4461B">
            <w:r>
              <w:t>Tratamiento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proofErr w:type="spellStart"/>
            <w:r>
              <w:t>Donovanosis</w:t>
            </w:r>
            <w:proofErr w:type="spellEnd"/>
            <w:r>
              <w:t xml:space="preserve"> (Granuloma inguinal)</w:t>
            </w:r>
          </w:p>
        </w:tc>
        <w:tc>
          <w:tcPr>
            <w:tcW w:w="3685" w:type="dxa"/>
          </w:tcPr>
          <w:p w:rsidR="00DD2636" w:rsidRDefault="00C4461B" w:rsidP="00C4461B">
            <w:r>
              <w:t>40-80 días antes del inicio de síntomas</w:t>
            </w:r>
          </w:p>
        </w:tc>
        <w:tc>
          <w:tcPr>
            <w:tcW w:w="2552" w:type="dxa"/>
          </w:tcPr>
          <w:p w:rsidR="00DD2636" w:rsidRDefault="000E2417" w:rsidP="00C4461B">
            <w:r>
              <w:t>Tratamiento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r>
              <w:t>Gonococia</w:t>
            </w:r>
          </w:p>
        </w:tc>
        <w:tc>
          <w:tcPr>
            <w:tcW w:w="3685" w:type="dxa"/>
          </w:tcPr>
          <w:p w:rsidR="00DD2636" w:rsidRDefault="00C4461B" w:rsidP="00C4461B">
            <w:r>
              <w:t xml:space="preserve">60 días antes del inicio de síntomas o diagnóstico </w:t>
            </w:r>
          </w:p>
        </w:tc>
        <w:tc>
          <w:tcPr>
            <w:tcW w:w="2552" w:type="dxa"/>
          </w:tcPr>
          <w:p w:rsidR="00DD2636" w:rsidRDefault="000E2417" w:rsidP="00C4461B">
            <w:r>
              <w:t>Tratamiento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r>
              <w:t>Hepatitis A</w:t>
            </w:r>
          </w:p>
        </w:tc>
        <w:tc>
          <w:tcPr>
            <w:tcW w:w="3685" w:type="dxa"/>
          </w:tcPr>
          <w:p w:rsidR="00DD2636" w:rsidRDefault="00C4461B" w:rsidP="00C4461B">
            <w:r>
              <w:t>Entre 2 semanas antes y una semana después del inicio de la ictericia</w:t>
            </w:r>
          </w:p>
        </w:tc>
        <w:tc>
          <w:tcPr>
            <w:tcW w:w="2552" w:type="dxa"/>
          </w:tcPr>
          <w:p w:rsidR="00DD2636" w:rsidRDefault="000E2417" w:rsidP="00C4461B">
            <w:r>
              <w:t>Vacunación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r>
              <w:t>Hepatitis B</w:t>
            </w:r>
          </w:p>
        </w:tc>
        <w:tc>
          <w:tcPr>
            <w:tcW w:w="3685" w:type="dxa"/>
          </w:tcPr>
          <w:p w:rsidR="00DD2636" w:rsidRDefault="00C4461B" w:rsidP="00C4461B">
            <w:r>
              <w:t>2 semanas antes del inicio de la ictericia</w:t>
            </w:r>
          </w:p>
        </w:tc>
        <w:tc>
          <w:tcPr>
            <w:tcW w:w="2552" w:type="dxa"/>
          </w:tcPr>
          <w:p w:rsidR="00DD2636" w:rsidRDefault="000E2417" w:rsidP="00C4461B">
            <w:r>
              <w:t xml:space="preserve">Vacunación 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r>
              <w:t>Herpes virus</w:t>
            </w:r>
          </w:p>
        </w:tc>
        <w:tc>
          <w:tcPr>
            <w:tcW w:w="3685" w:type="dxa"/>
          </w:tcPr>
          <w:p w:rsidR="00DD2636" w:rsidRDefault="00C4461B" w:rsidP="00C4461B">
            <w:r>
              <w:t xml:space="preserve">Pareja actual </w:t>
            </w:r>
          </w:p>
        </w:tc>
        <w:tc>
          <w:tcPr>
            <w:tcW w:w="2552" w:type="dxa"/>
          </w:tcPr>
          <w:p w:rsidR="00DD2636" w:rsidRDefault="00116AB0" w:rsidP="00C4461B">
            <w:r>
              <w:t xml:space="preserve">Consejo para evitar la infección y transmisión 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r>
              <w:t>VIH</w:t>
            </w:r>
          </w:p>
        </w:tc>
        <w:tc>
          <w:tcPr>
            <w:tcW w:w="3685" w:type="dxa"/>
          </w:tcPr>
          <w:p w:rsidR="00DD2636" w:rsidRDefault="00C4461B" w:rsidP="00C4461B">
            <w:r>
              <w:t xml:space="preserve">3 meses antes de un test previo negativo </w:t>
            </w:r>
          </w:p>
        </w:tc>
        <w:tc>
          <w:tcPr>
            <w:tcW w:w="2552" w:type="dxa"/>
          </w:tcPr>
          <w:p w:rsidR="00DD2636" w:rsidRDefault="00116AB0" w:rsidP="00C4461B">
            <w:r>
              <w:t>Tratamiento.</w:t>
            </w:r>
          </w:p>
          <w:p w:rsidR="00116AB0" w:rsidRDefault="00116AB0" w:rsidP="00C4461B">
            <w:r>
              <w:t>Consejo para evitar la infección o transmisión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r>
              <w:t>Linfogranuloma venéreo</w:t>
            </w:r>
          </w:p>
        </w:tc>
        <w:tc>
          <w:tcPr>
            <w:tcW w:w="3685" w:type="dxa"/>
          </w:tcPr>
          <w:p w:rsidR="00DD2636" w:rsidRDefault="00C4461B" w:rsidP="00C4461B">
            <w:r>
              <w:t>1 mes antes del inicio de síntomas</w:t>
            </w:r>
          </w:p>
        </w:tc>
        <w:tc>
          <w:tcPr>
            <w:tcW w:w="2552" w:type="dxa"/>
          </w:tcPr>
          <w:p w:rsidR="00DD2636" w:rsidRDefault="003F03CE" w:rsidP="00C4461B">
            <w:r>
              <w:t>tratamiento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r>
              <w:t>Uretritis no gonocócica</w:t>
            </w:r>
          </w:p>
        </w:tc>
        <w:tc>
          <w:tcPr>
            <w:tcW w:w="3685" w:type="dxa"/>
          </w:tcPr>
          <w:p w:rsidR="00DD2636" w:rsidRDefault="00C4461B" w:rsidP="00C4461B">
            <w:r>
              <w:t>4 semanas antes de inicio de síntomas o 6 meses en asintomáticos</w:t>
            </w:r>
          </w:p>
        </w:tc>
        <w:tc>
          <w:tcPr>
            <w:tcW w:w="2552" w:type="dxa"/>
          </w:tcPr>
          <w:p w:rsidR="00DD2636" w:rsidRDefault="003F03CE" w:rsidP="00C4461B">
            <w:r>
              <w:t>Tratamiento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r>
              <w:t>Pediculosis</w:t>
            </w:r>
          </w:p>
        </w:tc>
        <w:tc>
          <w:tcPr>
            <w:tcW w:w="3685" w:type="dxa"/>
          </w:tcPr>
          <w:p w:rsidR="00DD2636" w:rsidRDefault="00C4461B" w:rsidP="00C4461B">
            <w:r>
              <w:t>12 semanas antes del inicio de síntomas</w:t>
            </w:r>
          </w:p>
        </w:tc>
        <w:tc>
          <w:tcPr>
            <w:tcW w:w="2552" w:type="dxa"/>
          </w:tcPr>
          <w:p w:rsidR="00DD2636" w:rsidRDefault="003F03CE" w:rsidP="00C4461B">
            <w:r>
              <w:t>Tratamiento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r>
              <w:t>Escabiosis</w:t>
            </w:r>
          </w:p>
        </w:tc>
        <w:tc>
          <w:tcPr>
            <w:tcW w:w="3685" w:type="dxa"/>
          </w:tcPr>
          <w:p w:rsidR="00DD2636" w:rsidRDefault="00C4461B" w:rsidP="00C4461B">
            <w:r>
              <w:t xml:space="preserve">8 semanas antes del inicio de síntomas </w:t>
            </w:r>
          </w:p>
        </w:tc>
        <w:tc>
          <w:tcPr>
            <w:tcW w:w="2552" w:type="dxa"/>
          </w:tcPr>
          <w:p w:rsidR="00DD2636" w:rsidRDefault="003F03CE" w:rsidP="00C4461B">
            <w:r>
              <w:t>Tratamiento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r>
              <w:t>Sífilis</w:t>
            </w:r>
          </w:p>
        </w:tc>
        <w:tc>
          <w:tcPr>
            <w:tcW w:w="3685" w:type="dxa"/>
          </w:tcPr>
          <w:p w:rsidR="00DD2636" w:rsidRDefault="00116AB0" w:rsidP="00C4461B">
            <w:r>
              <w:t xml:space="preserve">Primaria: 3 meses antes del inicio de síntomas </w:t>
            </w:r>
          </w:p>
          <w:p w:rsidR="00116AB0" w:rsidRDefault="00116AB0" w:rsidP="00C4461B">
            <w:r>
              <w:t>Secundaria: 6 meses antes del inicio de síntomas</w:t>
            </w:r>
          </w:p>
          <w:p w:rsidR="00116AB0" w:rsidRDefault="00116AB0" w:rsidP="00C4461B">
            <w:r>
              <w:t xml:space="preserve">Latente precoz: 12 meses antes del diagnóstico. Si no es posible, intentar precisar la fecha en que se produjeron las lesiones primaria y secundaria.  </w:t>
            </w:r>
          </w:p>
        </w:tc>
        <w:tc>
          <w:tcPr>
            <w:tcW w:w="2552" w:type="dxa"/>
          </w:tcPr>
          <w:p w:rsidR="00DD2636" w:rsidRDefault="00116AB0" w:rsidP="00C4461B">
            <w:r>
              <w:t>Prevención y tratamiento</w:t>
            </w:r>
          </w:p>
        </w:tc>
      </w:tr>
      <w:tr w:rsidR="00116AB0" w:rsidTr="00116AB0">
        <w:tc>
          <w:tcPr>
            <w:tcW w:w="2187" w:type="dxa"/>
          </w:tcPr>
          <w:p w:rsidR="00116AB0" w:rsidRDefault="00116AB0" w:rsidP="00C4461B">
            <w:r>
              <w:t>Tricomoniasis</w:t>
            </w:r>
          </w:p>
        </w:tc>
        <w:tc>
          <w:tcPr>
            <w:tcW w:w="3685" w:type="dxa"/>
          </w:tcPr>
          <w:p w:rsidR="00116AB0" w:rsidRDefault="00116AB0" w:rsidP="00C4461B">
            <w:r>
              <w:t>60 días antes del inicio de síntomas o diagnóstico</w:t>
            </w:r>
          </w:p>
        </w:tc>
        <w:tc>
          <w:tcPr>
            <w:tcW w:w="2552" w:type="dxa"/>
          </w:tcPr>
          <w:p w:rsidR="00116AB0" w:rsidRDefault="00116AB0" w:rsidP="00C4461B">
            <w:r>
              <w:t>Tratamiento</w:t>
            </w:r>
          </w:p>
        </w:tc>
      </w:tr>
      <w:tr w:rsidR="00F63B6F" w:rsidTr="00116AB0">
        <w:tc>
          <w:tcPr>
            <w:tcW w:w="2187" w:type="dxa"/>
          </w:tcPr>
          <w:p w:rsidR="00DD2636" w:rsidRDefault="00116AB0" w:rsidP="00C4461B">
            <w:r>
              <w:t>Virus del papiloma humano</w:t>
            </w:r>
          </w:p>
        </w:tc>
        <w:tc>
          <w:tcPr>
            <w:tcW w:w="3685" w:type="dxa"/>
          </w:tcPr>
          <w:p w:rsidR="00DD2636" w:rsidRDefault="00116AB0" w:rsidP="00C4461B">
            <w:r>
              <w:t>Pareja actual</w:t>
            </w:r>
          </w:p>
        </w:tc>
        <w:tc>
          <w:tcPr>
            <w:tcW w:w="2552" w:type="dxa"/>
          </w:tcPr>
          <w:p w:rsidR="00DD2636" w:rsidRDefault="00116AB0" w:rsidP="00C4461B">
            <w:r>
              <w:t>Tratamiento de las verrugas o displasia cervical. Consejo</w:t>
            </w:r>
          </w:p>
        </w:tc>
      </w:tr>
    </w:tbl>
    <w:p w:rsidR="00DD2636" w:rsidRDefault="00DD2636" w:rsidP="00C4461B">
      <w:pPr>
        <w:ind w:left="360"/>
      </w:pPr>
    </w:p>
    <w:p w:rsidR="00C4461B" w:rsidRDefault="00C4461B" w:rsidP="00C4461B">
      <w:pPr>
        <w:ind w:left="360"/>
      </w:pPr>
      <w:r>
        <w:t xml:space="preserve">Traducido y modificado de </w:t>
      </w:r>
      <w:proofErr w:type="spellStart"/>
      <w:r>
        <w:t>Peterman</w:t>
      </w:r>
      <w:proofErr w:type="spellEnd"/>
      <w:r>
        <w:t xml:space="preserve"> TA et al y </w:t>
      </w:r>
      <w:proofErr w:type="spellStart"/>
      <w:r>
        <w:t>Patman</w:t>
      </w:r>
      <w:proofErr w:type="spellEnd"/>
      <w:r>
        <w:t xml:space="preserve"> R et al.</w:t>
      </w:r>
    </w:p>
    <w:p w:rsidR="00DD2636" w:rsidRDefault="00DD2636" w:rsidP="00C4461B">
      <w:pPr>
        <w:ind w:left="360"/>
      </w:pPr>
    </w:p>
    <w:p w:rsidR="00DD2636" w:rsidRPr="00F434A5" w:rsidRDefault="00DD2636" w:rsidP="00C4461B">
      <w:pPr>
        <w:ind w:left="360"/>
      </w:pPr>
    </w:p>
    <w:sectPr w:rsidR="00DD2636" w:rsidRPr="00F434A5" w:rsidSect="009C3EE0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49C0" w:rsidRDefault="00BC49C0" w:rsidP="00DD2636">
      <w:pPr>
        <w:spacing w:after="0" w:line="240" w:lineRule="auto"/>
      </w:pPr>
      <w:r>
        <w:separator/>
      </w:r>
    </w:p>
  </w:endnote>
  <w:endnote w:type="continuationSeparator" w:id="0">
    <w:p w:rsidR="00BC49C0" w:rsidRDefault="00BC49C0" w:rsidP="00DD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49C0" w:rsidRDefault="00BC49C0" w:rsidP="00DD2636">
      <w:pPr>
        <w:spacing w:after="0" w:line="240" w:lineRule="auto"/>
      </w:pPr>
      <w:r>
        <w:separator/>
      </w:r>
    </w:p>
  </w:footnote>
  <w:footnote w:type="continuationSeparator" w:id="0">
    <w:p w:rsidR="00BC49C0" w:rsidRDefault="00BC49C0" w:rsidP="00DD2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C1C4A"/>
    <w:multiLevelType w:val="hybridMultilevel"/>
    <w:tmpl w:val="346674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9F171C"/>
    <w:multiLevelType w:val="hybridMultilevel"/>
    <w:tmpl w:val="98963554"/>
    <w:lvl w:ilvl="0" w:tplc="0D98FDE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16FF6"/>
    <w:multiLevelType w:val="hybridMultilevel"/>
    <w:tmpl w:val="7BA636C4"/>
    <w:lvl w:ilvl="0" w:tplc="028609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698"/>
    <w:rsid w:val="000E2417"/>
    <w:rsid w:val="00116AB0"/>
    <w:rsid w:val="00217A27"/>
    <w:rsid w:val="00222F05"/>
    <w:rsid w:val="003F03CE"/>
    <w:rsid w:val="0048532B"/>
    <w:rsid w:val="00752698"/>
    <w:rsid w:val="009C3EE0"/>
    <w:rsid w:val="009E3FE1"/>
    <w:rsid w:val="00BC49C0"/>
    <w:rsid w:val="00C4461B"/>
    <w:rsid w:val="00DC11FD"/>
    <w:rsid w:val="00DD2636"/>
    <w:rsid w:val="00F434A5"/>
    <w:rsid w:val="00F50459"/>
    <w:rsid w:val="00F63B6F"/>
    <w:rsid w:val="00F810C9"/>
    <w:rsid w:val="00FC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A59B5-53EB-4BF9-B1C3-D8F240710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5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5269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D26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2636"/>
  </w:style>
  <w:style w:type="paragraph" w:styleId="Piedepgina">
    <w:name w:val="footer"/>
    <w:basedOn w:val="Normal"/>
    <w:link w:val="PiedepginaCar"/>
    <w:uiPriority w:val="99"/>
    <w:unhideWhenUsed/>
    <w:rsid w:val="00DD26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2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1243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Manolo DIZ GUEDES</dc:creator>
  <cp:lastModifiedBy>Juan Trabajo</cp:lastModifiedBy>
  <cp:revision>2</cp:revision>
  <dcterms:created xsi:type="dcterms:W3CDTF">2019-01-29T16:06:00Z</dcterms:created>
  <dcterms:modified xsi:type="dcterms:W3CDTF">2019-01-29T16:06:00Z</dcterms:modified>
</cp:coreProperties>
</file>